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博罗县</w:t>
      </w:r>
      <w:r>
        <w:rPr>
          <w:rFonts w:hint="eastAsia" w:ascii="方正小标宋简体" w:hAnsi="方正小标宋简体" w:eastAsia="方正小标宋简体" w:cs="方正小标宋简体"/>
          <w:sz w:val="44"/>
          <w:szCs w:val="44"/>
        </w:rPr>
        <w:t>产业用地建设和使用监管协议书</w:t>
      </w:r>
    </w:p>
    <w:p>
      <w:pPr>
        <w:jc w:val="left"/>
        <w:rPr>
          <w:rFonts w:hint="eastAsia" w:ascii="仿宋_GB2312" w:hAnsi="仿宋_GB2312" w:eastAsia="仿宋_GB2312" w:cs="仿宋_GB2312"/>
          <w:sz w:val="44"/>
          <w:szCs w:val="44"/>
        </w:rPr>
      </w:pPr>
    </w:p>
    <w:p>
      <w:pPr>
        <w:jc w:val="left"/>
        <w:rPr>
          <w:rFonts w:hint="default" w:ascii="仿宋_GB2312" w:hAnsi="仿宋_GB2312" w:eastAsia="仿宋_GB2312"/>
          <w:sz w:val="32"/>
          <w:szCs w:val="24"/>
          <w:lang w:val="en-US" w:eastAsia="zh-CN"/>
        </w:rPr>
      </w:pPr>
      <w:r>
        <w:rPr>
          <w:rFonts w:hint="eastAsia" w:ascii="仿宋" w:hAnsi="仿宋" w:eastAsia="仿宋" w:cs="Arial"/>
          <w:sz w:val="32"/>
          <w:szCs w:val="32"/>
        </w:rPr>
        <w:t>甲方：</w:t>
      </w:r>
      <w:r>
        <w:rPr>
          <w:rFonts w:hint="eastAsia" w:ascii="仿宋_GB2312" w:hAnsi="仿宋_GB2312" w:eastAsia="仿宋_GB2312"/>
          <w:sz w:val="32"/>
          <w:szCs w:val="24"/>
        </w:rPr>
        <w:t>博罗县</w:t>
      </w:r>
      <w:r>
        <w:rPr>
          <w:rFonts w:hint="eastAsia" w:ascii="仿宋_GB2312" w:hAnsi="仿宋_GB2312" w:eastAsia="仿宋_GB2312"/>
          <w:sz w:val="32"/>
          <w:szCs w:val="24"/>
          <w:lang w:val="en-US" w:eastAsia="zh-CN"/>
        </w:rPr>
        <w:t>湖镇镇人民政府</w:t>
      </w:r>
    </w:p>
    <w:p>
      <w:pPr>
        <w:jc w:val="left"/>
        <w:rPr>
          <w:rFonts w:hint="default" w:ascii="仿宋" w:hAnsi="仿宋" w:eastAsia="仿宋" w:cs="Arial"/>
          <w:color w:val="auto"/>
          <w:sz w:val="32"/>
          <w:szCs w:val="32"/>
          <w:lang w:val="en-US" w:eastAsia="zh-CN"/>
        </w:rPr>
      </w:pPr>
      <w:r>
        <w:rPr>
          <w:rFonts w:hint="eastAsia" w:ascii="仿宋" w:hAnsi="仿宋" w:eastAsia="仿宋" w:cs="Arial"/>
          <w:sz w:val="32"/>
          <w:szCs w:val="32"/>
        </w:rPr>
        <w:t xml:space="preserve">法人代表：陈建强 </w:t>
      </w:r>
      <w:r>
        <w:rPr>
          <w:rFonts w:hint="eastAsia" w:ascii="仿宋" w:hAnsi="仿宋" w:eastAsia="仿宋" w:cs="Arial"/>
          <w:sz w:val="32"/>
          <w:szCs w:val="32"/>
        </w:rPr>
        <w:br w:type="textWrapping"/>
      </w:r>
      <w:r>
        <w:rPr>
          <w:rFonts w:hint="eastAsia" w:ascii="仿宋" w:hAnsi="仿宋" w:eastAsia="仿宋" w:cs="Arial"/>
          <w:color w:val="auto"/>
          <w:sz w:val="32"/>
          <w:szCs w:val="32"/>
        </w:rPr>
        <w:t>地址：惠州市博罗县湖镇镇长旺路188号</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联系电话：0752-6657233</w:t>
      </w:r>
    </w:p>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乙方：</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统一社会信用代码：</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法人代表：</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rPr>
        <w:br w:type="textWrapping"/>
      </w:r>
    </w:p>
    <w:p>
      <w:pPr>
        <w:ind w:left="0" w:leftChars="0"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本宗地位于</w:t>
      </w:r>
      <w:r>
        <w:rPr>
          <w:rFonts w:hint="eastAsia" w:ascii="仿宋_GB2312" w:hAnsi="仿宋_GB2312" w:eastAsia="仿宋_GB2312" w:cs="仿宋_GB2312"/>
          <w:sz w:val="32"/>
          <w:szCs w:val="32"/>
          <w:u w:val="single"/>
          <w:lang w:val="en-US" w:eastAsia="zh-CN"/>
        </w:rPr>
        <w:t xml:space="preserve"> 博罗县湖镇镇东埔村石芽岭地段 </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rPr>
        <w:t>宗地面积为</w:t>
      </w:r>
      <w:r>
        <w:rPr>
          <w:rFonts w:hint="eastAsia" w:ascii="仿宋_GB2312" w:hAnsi="仿宋_GB2312" w:eastAsia="仿宋_GB2312" w:cs="仿宋_GB2312"/>
          <w:sz w:val="32"/>
          <w:szCs w:val="32"/>
          <w:u w:val="single"/>
          <w:lang w:val="en-US" w:eastAsia="zh-CN"/>
        </w:rPr>
        <w:t>297601.66</w:t>
      </w:r>
      <w:r>
        <w:rPr>
          <w:rFonts w:hint="eastAsia" w:ascii="仿宋_GB2312" w:hAnsi="仿宋_GB2312" w:eastAsia="仿宋_GB2312" w:cs="仿宋_GB2312"/>
          <w:sz w:val="32"/>
          <w:szCs w:val="32"/>
        </w:rPr>
        <w:t>平方米，地块编号为</w:t>
      </w:r>
      <w:r>
        <w:rPr>
          <w:rFonts w:hint="eastAsia" w:ascii="仿宋_GB2312" w:hAnsi="仿宋_GB2312" w:eastAsia="仿宋_GB2312" w:cs="仿宋_GB2312"/>
          <w:sz w:val="32"/>
          <w:szCs w:val="32"/>
          <w:u w:val="single"/>
          <w:lang w:val="en-US" w:eastAsia="zh-CN"/>
        </w:rPr>
        <w:t xml:space="preserve">  博自然资（用地）挂字〔2024﹞11号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用地性质为</w:t>
      </w:r>
      <w:r>
        <w:rPr>
          <w:rFonts w:hint="eastAsia" w:ascii="仿宋" w:hAnsi="仿宋" w:eastAsia="仿宋" w:cs="Arial"/>
          <w:color w:val="auto"/>
          <w:sz w:val="32"/>
          <w:szCs w:val="32"/>
          <w:u w:val="single"/>
          <w:lang w:val="en-US" w:eastAsia="zh-CN"/>
        </w:rPr>
        <w:t xml:space="preserve">  二类工业用地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，土地使用权出让年限</w:t>
      </w:r>
      <w:r>
        <w:rPr>
          <w:rFonts w:hint="eastAsia" w:ascii="仿宋_GB2312" w:hAnsi="仿宋_GB2312" w:eastAsia="仿宋_GB2312" w:cs="仿宋_GB2312"/>
          <w:sz w:val="32"/>
          <w:szCs w:val="32"/>
          <w:u w:val="single"/>
        </w:rPr>
        <w:t xml:space="preserve"> </w:t>
      </w:r>
      <w:r>
        <w:rPr>
          <w:rFonts w:hint="eastAsia" w:ascii="仿宋" w:hAnsi="仿宋" w:eastAsia="仿宋" w:cs="Arial"/>
          <w:color w:val="auto"/>
          <w:sz w:val="32"/>
          <w:szCs w:val="32"/>
          <w:u w:val="single"/>
          <w:lang w:val="en-US" w:eastAsia="zh-CN"/>
        </w:rPr>
        <w:t xml:space="preserve"> 50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年，容积率为</w:t>
      </w:r>
      <w:r>
        <w:rPr>
          <w:rFonts w:hint="eastAsia" w:ascii="仿宋_GB2312" w:hAnsi="仿宋_GB2312" w:eastAsia="仿宋_GB2312" w:cs="仿宋_GB2312"/>
          <w:sz w:val="32"/>
          <w:szCs w:val="32"/>
          <w:u w:val="single"/>
        </w:rPr>
        <w:t>0.5-1.</w:t>
      </w:r>
      <w:r>
        <w:rPr>
          <w:rFonts w:hint="eastAsia" w:ascii="仿宋_GB2312" w:hAnsi="仿宋_GB2312" w:eastAsia="仿宋_GB2312" w:cs="仿宋_GB2312"/>
          <w:sz w:val="32"/>
          <w:szCs w:val="32"/>
          <w:u w:val="single"/>
          <w:lang w:val="en-US" w:eastAsia="zh-CN"/>
        </w:rPr>
        <w:t xml:space="preserve">2 </w:t>
      </w:r>
      <w:r>
        <w:rPr>
          <w:rFonts w:hint="eastAsia" w:ascii="仿宋" w:hAnsi="仿宋" w:eastAsia="仿宋" w:cs="Arial"/>
          <w:color w:val="auto"/>
          <w:sz w:val="32"/>
          <w:szCs w:val="32"/>
          <w:u w:val="single"/>
          <w:lang w:val="en-US" w:eastAsia="zh-CN"/>
        </w:rPr>
        <w:t xml:space="preserve"> </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rPr>
        <w:t>上述指标，以自然资源部门最终核定的用地方案为准。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为兑现乙方投资承诺，实现土地的有效利用，本着平等友好、诚信共赢原则，甲乙双方签订本协议，供双方</w:t>
      </w:r>
      <w:bookmarkStart w:id="0" w:name="_GoBack"/>
      <w:bookmarkEnd w:id="0"/>
      <w:r>
        <w:rPr>
          <w:rFonts w:hint="eastAsia" w:ascii="仿宋_GB2312" w:hAnsi="仿宋_GB2312" w:eastAsia="仿宋_GB2312" w:cs="仿宋_GB2312"/>
          <w:sz w:val="32"/>
          <w:szCs w:val="32"/>
        </w:rPr>
        <w:t>共同遵守。</w:t>
      </w:r>
    </w:p>
    <w:p>
      <w:pPr>
        <w:spacing w:line="560" w:lineRule="exact"/>
        <w:ind w:left="638" w:leftChars="304"/>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第一条  项目概况</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楷体_GB2312" w:eastAsia="楷体_GB2312" w:cs="楷体_GB2312"/>
          <w:sz w:val="32"/>
          <w:szCs w:val="32"/>
          <w:highlight w:val="none"/>
          <w:lang w:bidi="ar-SA"/>
        </w:rPr>
      </w:pPr>
      <w:r>
        <w:rPr>
          <w:rFonts w:hint="eastAsia" w:ascii="仿宋_GB2312" w:hAnsi="仿宋_GB2312" w:eastAsia="仿宋_GB2312" w:cs="仿宋_GB2312"/>
          <w:sz w:val="32"/>
          <w:szCs w:val="32"/>
        </w:rPr>
        <w:t xml:space="preserve">1.1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本宗地应引进优先发展产业项目，在国民经济行业分类中类别为：</w:t>
      </w:r>
      <w:r>
        <w:rPr>
          <w:rFonts w:hint="eastAsia" w:ascii="仿宋_GB2312" w:hAnsi="仿宋_GB2312" w:eastAsia="仿宋_GB2312" w:cs="仿宋_GB2312"/>
          <w:sz w:val="32"/>
          <w:szCs w:val="32"/>
          <w:highlight w:val="none"/>
          <w:u w:val="single"/>
          <w:lang w:val="en-US" w:eastAsia="zh-CN"/>
        </w:rPr>
        <w:t xml:space="preserve"> 非金属矿物制品业 </w:t>
      </w:r>
      <w:r>
        <w:rPr>
          <w:rFonts w:hint="eastAsia" w:ascii="仿宋_GB2312" w:hAnsi="仿宋_GB2312" w:eastAsia="仿宋_GB2312" w:cs="仿宋_GB2312"/>
          <w:sz w:val="32"/>
          <w:szCs w:val="32"/>
        </w:rPr>
        <w:t>。乙方签订本协议时，须提交博罗县科技工业和信息化局出具的与本宗地应引进的行业类别一致的优先发展产业项目文件。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1.2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乙方拟在本宗地投资建设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（以下简称“项目”），项目建成后主要生产经营：</w:t>
      </w:r>
      <w:r>
        <w:rPr>
          <w:rFonts w:hint="eastAsia" w:ascii="仿宋_GB2312" w:eastAsia="仿宋_GB2312" w:cs="仿宋_GB2312"/>
          <w:sz w:val="32"/>
          <w:szCs w:val="32"/>
          <w:highlight w:val="none"/>
          <w:u w:val="single"/>
          <w:lang w:val="en-US" w:eastAsia="zh-CN" w:bidi="ar-SA"/>
        </w:rPr>
        <w:t>将建设成为绿色现代化石场，主要开采矿产资源为建筑用片麻岩。</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w:t>
      </w:r>
      <w:r>
        <w:rPr>
          <w:rFonts w:hint="eastAsia" w:ascii="仿宋_GB2312" w:hAnsi="仿宋_GB2312" w:eastAsia="仿宋_GB2312" w:cs="仿宋_GB2312"/>
          <w:sz w:val="32"/>
          <w:szCs w:val="32"/>
          <w:u w:val="single"/>
        </w:rPr>
        <w:t xml:space="preserve"> 30</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日内启动项目建设前期相关准备工作</w:t>
      </w:r>
      <w:r>
        <w:rPr>
          <w:rFonts w:hint="eastAsia" w:ascii="仿宋_GB2312" w:hAnsi="仿宋_GB2312" w:eastAsia="仿宋_GB2312" w:cs="仿宋_GB2312"/>
          <w:sz w:val="32"/>
          <w:szCs w:val="32"/>
          <w:lang w:eastAsia="zh-CN"/>
        </w:rPr>
        <w:t>（包括方案设计 、施工围挡 、地质勘探 、水电报装及按照防扬尘的要求做好施工场所布置等）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3 </w:t>
      </w:r>
      <w:r>
        <w:rPr>
          <w:rFonts w:hint="eastAsia" w:ascii="仿宋_GB2312" w:hAnsi="仿宋_GB2312" w:eastAsia="仿宋_GB2312" w:cs="仿宋_GB2312"/>
          <w:sz w:val="32"/>
          <w:szCs w:val="32"/>
        </w:rPr>
        <w:t>个月内实质性进场动工开展桩基工程建设，</w:t>
      </w:r>
      <w:r>
        <w:rPr>
          <w:rFonts w:hint="eastAsia" w:ascii="仿宋_GB2312" w:hAnsi="仿宋_GB2312" w:eastAsia="仿宋_GB2312" w:cs="仿宋_GB2312"/>
          <w:sz w:val="32"/>
          <w:szCs w:val="32"/>
          <w:u w:val="single"/>
        </w:rPr>
        <w:t xml:space="preserve"> 24 </w:t>
      </w:r>
      <w:r>
        <w:rPr>
          <w:rFonts w:hint="eastAsia" w:ascii="仿宋_GB2312" w:hAnsi="仿宋_GB2312" w:eastAsia="仿宋_GB2312" w:cs="仿宋_GB2312"/>
          <w:sz w:val="32"/>
          <w:szCs w:val="32"/>
        </w:rPr>
        <w:t>个月内全部建成（即项目综合竣工验收合格）并投入运营，并于竣工之日起开始计算考核指标，自竣工验收合格之日起1年内产值上规纳统，4年内达产。乙方须按照上述约定时间及投资计划进行项目的投资建设及投产运营。对于以上约定，如有特殊情况时，乙方须提前书面告知甲方并取得甲方的书面同意，否则视为违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项目投资总额不低于</w:t>
      </w:r>
      <w:r>
        <w:rPr>
          <w:rFonts w:hint="eastAsia" w:ascii="仿宋_GB2312" w:hAnsi="仿宋_GB2312" w:eastAsia="仿宋_GB2312" w:cs="仿宋_GB2312"/>
          <w:sz w:val="32"/>
          <w:szCs w:val="32"/>
          <w:u w:val="single"/>
          <w:lang w:val="en-US" w:eastAsia="zh-CN"/>
        </w:rPr>
        <w:t xml:space="preserve"> 18.5 </w:t>
      </w:r>
      <w:r>
        <w:rPr>
          <w:rFonts w:hint="eastAsia" w:ascii="仿宋_GB2312" w:hAnsi="仿宋_GB2312" w:eastAsia="仿宋_GB2312" w:cs="仿宋_GB2312"/>
          <w:sz w:val="32"/>
          <w:szCs w:val="32"/>
        </w:rPr>
        <w:t>亿元 （人民币）。乙方承诺：项目投资强度不低于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400 </w:t>
      </w:r>
      <w:r>
        <w:rPr>
          <w:rFonts w:hint="eastAsia" w:ascii="仿宋_GB2312" w:hAnsi="仿宋_GB2312" w:eastAsia="仿宋_GB2312" w:cs="仿宋_GB2312"/>
          <w:sz w:val="32"/>
          <w:szCs w:val="32"/>
        </w:rPr>
        <w:t>万元/亩（人民币），项目投产后，每年的研发经费投入比例不低于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1.1%  </w:t>
      </w:r>
      <w:r>
        <w:rPr>
          <w:rFonts w:hint="eastAsia" w:ascii="仿宋_GB2312" w:hAnsi="仿宋_GB2312" w:eastAsia="仿宋_GB2312" w:cs="仿宋_GB2312"/>
          <w:sz w:val="32"/>
          <w:szCs w:val="32"/>
        </w:rPr>
        <w:t>，每年工业增加值率不低于上一年度惠州市同一行业标准；项目</w:t>
      </w:r>
      <w:r>
        <w:rPr>
          <w:rFonts w:hint="eastAsia" w:ascii="仿宋_GB2312" w:hAnsi="仿宋_GB2312" w:eastAsia="仿宋_GB2312" w:cs="仿宋_GB2312"/>
          <w:sz w:val="32"/>
          <w:szCs w:val="32"/>
          <w:lang w:val="en-US" w:eastAsia="zh-CN"/>
        </w:rPr>
        <w:t>全部</w:t>
      </w:r>
      <w:r>
        <w:rPr>
          <w:rFonts w:hint="eastAsia" w:ascii="仿宋_GB2312" w:hAnsi="仿宋_GB2312" w:eastAsia="仿宋_GB2312" w:cs="仿宋_GB2312"/>
          <w:sz w:val="32"/>
          <w:szCs w:val="32"/>
        </w:rPr>
        <w:t>建成</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达产后</w:t>
      </w:r>
      <w:r>
        <w:rPr>
          <w:rFonts w:hint="eastAsia" w:ascii="仿宋_GB2312" w:hAnsi="仿宋_GB2312" w:eastAsia="仿宋_GB2312" w:cs="仿宋_GB2312"/>
          <w:sz w:val="32"/>
          <w:szCs w:val="32"/>
          <w:lang w:val="en-US" w:eastAsia="zh-CN"/>
        </w:rPr>
        <w:t>，可实现年销售总额（年产值）</w:t>
      </w:r>
      <w:r>
        <w:rPr>
          <w:rFonts w:hint="eastAsia" w:ascii="仿宋_GB2312" w:hAnsi="仿宋_GB2312" w:eastAsia="仿宋_GB2312" w:cs="仿宋_GB2312"/>
          <w:sz w:val="32"/>
          <w:szCs w:val="32"/>
        </w:rPr>
        <w:t>不低于</w:t>
      </w:r>
      <w:r>
        <w:rPr>
          <w:rFonts w:hint="eastAsia" w:ascii="仿宋_GB2312" w:hAnsi="仿宋_GB2312" w:eastAsia="仿宋_GB2312" w:cs="仿宋_GB2312"/>
          <w:sz w:val="32"/>
          <w:szCs w:val="32"/>
          <w:u w:val="single"/>
          <w:lang w:val="en-US" w:eastAsia="zh-CN"/>
        </w:rPr>
        <w:t xml:space="preserve"> 230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可实现</w:t>
      </w:r>
      <w:r>
        <w:rPr>
          <w:rFonts w:hint="eastAsia" w:ascii="仿宋_GB2312" w:hAnsi="仿宋_GB2312" w:eastAsia="仿宋_GB2312" w:cs="仿宋_GB2312"/>
          <w:sz w:val="32"/>
          <w:szCs w:val="32"/>
        </w:rPr>
        <w:t>年纳税额不低于</w:t>
      </w:r>
      <w:r>
        <w:rPr>
          <w:rFonts w:hint="eastAsia" w:ascii="仿宋_GB2312" w:hAnsi="仿宋_GB2312" w:eastAsia="仿宋_GB2312" w:cs="仿宋_GB2312"/>
          <w:sz w:val="32"/>
          <w:szCs w:val="32"/>
          <w:u w:val="single"/>
          <w:lang w:val="en-US" w:eastAsia="zh-CN"/>
        </w:rPr>
        <w:t>15</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本协议书所指“年纳税额”为会计年度内企业在博罗县税务机关缴纳的实际入库税收，含出口免抵税额，不含土地使用税、进口环节的关税及增值税和各种政策性退税及规费，下同）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1.5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乙方承诺，自签订本协议之日起至考核期结束，项目工业增加值能耗（当量值）不高于0.2649吨标准煤/万元或单位产品能耗达到国内行业先进值。</w:t>
      </w:r>
    </w:p>
    <w:p>
      <w:pPr>
        <w:ind w:left="959" w:leftChars="304" w:hanging="321" w:hangingChars="1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第二条 甲方权利和义务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甲方提供相关的投资服务和公共管理，指导乙方开展相关工作，在职权范围内</w:t>
      </w:r>
      <w:r>
        <w:rPr>
          <w:rFonts w:hint="eastAsia" w:ascii="仿宋_GB2312" w:hAnsi="仿宋_GB2312" w:eastAsia="仿宋_GB2312" w:cs="仿宋_GB2312"/>
          <w:sz w:val="32"/>
          <w:szCs w:val="32"/>
          <w:lang w:val="en-US" w:eastAsia="zh-CN"/>
        </w:rPr>
        <w:t>协助</w:t>
      </w:r>
      <w:r>
        <w:rPr>
          <w:rFonts w:hint="eastAsia" w:ascii="仿宋_GB2312" w:hAnsi="仿宋_GB2312" w:eastAsia="仿宋_GB2312" w:cs="仿宋_GB2312"/>
          <w:sz w:val="32"/>
          <w:szCs w:val="32"/>
        </w:rPr>
        <w:t>解决乙方在项目建设及建成投产后经营过程中遇到涉及甲方的问题和困难。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如乙方依法取得土地使用权，在符合法律法规和相关政策规定以及在甲方职权范围内，甲方指导乙方办理《不动产权证书》《建设用地规划许可证》《建设工程规划许可证》</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《建筑工程施工许可证》等相关手续。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甲方负责乙方项目竣工验收后的监管工作。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项目达产之日起（以乙方向甲方书面报告时间为准），甲方可自行或委托专业机构对乙方承诺单位土地面积上的固定资产投资强度、年纳税总额等进行核查（乙方可自行选择自投产之日起4年间最高的2年的平均数提供给甲方核查）。</w:t>
      </w:r>
    </w:p>
    <w:p>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第三条  乙方权利和义务</w:t>
      </w:r>
    </w:p>
    <w:p>
      <w:pP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3.1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本宗地只用于本协议第一条约定的项目内容进行建设且保证项目的开工、建设及运营符合项目我县行政职能部门的审批、备案等行政手续，依法建设，依法运营。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乙方在开工建设前必须依法取得环保主管部门对该投资项目的环境影响评价文件的审批和水行政主管部门的水土保持方案批复文件，需单独进行节能审查的，必须依法取得节能主管部门的审批。</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项目达产后1个月内，须书面向甲方报告达产时间及生产经营情况。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乙方签署本协议之日起，未经甲方书面批准，企业10年内不改变在本县的纳税义务、不减少注册资本、不变更统计关系。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w:t>
      </w:r>
      <w:r>
        <w:rPr>
          <w:rFonts w:hint="eastAsia" w:ascii="仿宋_GB2312" w:hAnsi="仿宋_GB2312" w:eastAsia="仿宋_GB2312" w:cs="仿宋_GB2312"/>
          <w:sz w:val="32"/>
          <w:szCs w:val="32"/>
          <w:lang w:val="en-US" w:eastAsia="zh-CN"/>
        </w:rPr>
        <w:t>生效</w:t>
      </w:r>
      <w:r>
        <w:rPr>
          <w:rFonts w:hint="eastAsia" w:ascii="仿宋_GB2312" w:hAnsi="仿宋_GB2312" w:eastAsia="仿宋_GB2312" w:cs="仿宋_GB2312"/>
          <w:sz w:val="32"/>
          <w:szCs w:val="32"/>
        </w:rPr>
        <w:t>后，如乙方股权结构发生变动或股权发生变更的，乙方必须经甲方书面同意，否则视为违约，且乙</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公司的股权变更不得影响本协议的履行。</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  履约考核</w:t>
      </w:r>
      <w:r>
        <w:rPr>
          <w:rFonts w:hint="eastAsia" w:ascii="仿宋_GB2312" w:hAnsi="仿宋_GB2312" w:eastAsia="仿宋_GB2312" w:cs="仿宋_GB2312"/>
          <w:b/>
          <w:sz w:val="32"/>
          <w:szCs w:val="32"/>
        </w:rPr>
        <w:br w:type="textWrapping"/>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sz w:val="32"/>
          <w:szCs w:val="32"/>
        </w:rPr>
        <w:t xml:space="preserve"> 4.1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甲方对乙方项目效益进行考核，</w:t>
      </w:r>
      <w:r>
        <w:rPr>
          <w:rFonts w:hint="eastAsia" w:ascii="仿宋_GB2312" w:hAnsi="仿宋_GB2312" w:eastAsia="仿宋_GB2312" w:cs="仿宋_GB2312"/>
          <w:sz w:val="32"/>
          <w:szCs w:val="32"/>
          <w:lang w:val="zh-CN"/>
        </w:rPr>
        <w:t>自</w:t>
      </w:r>
      <w:r>
        <w:rPr>
          <w:rFonts w:hint="eastAsia" w:ascii="仿宋_GB2312" w:hAnsi="仿宋_GB2312" w:eastAsia="仿宋_GB2312" w:cs="仿宋_GB2312"/>
          <w:sz w:val="32"/>
          <w:szCs w:val="32"/>
        </w:rPr>
        <w:t>乙方在取得土地（自《国有建设用地交地确认书》签订日期起计），并按本协议书约定时间投产后的第一个完整会计年度起计，连续四个会计年度为考核期。如在考核期</w:t>
      </w:r>
      <w:r>
        <w:rPr>
          <w:rFonts w:hint="eastAsia" w:ascii="仿宋_GB2312" w:hAnsi="仿宋_GB2312" w:eastAsia="仿宋_GB2312" w:cs="仿宋_GB2312"/>
          <w:sz w:val="32"/>
          <w:szCs w:val="32"/>
          <w:lang w:val="zh-CN"/>
        </w:rPr>
        <w:t>内最多的</w:t>
      </w:r>
      <w:r>
        <w:rPr>
          <w:rFonts w:hint="eastAsia" w:ascii="仿宋_GB2312" w:hAnsi="仿宋_GB2312" w:eastAsia="仿宋_GB2312" w:cs="仿宋_GB2312"/>
          <w:sz w:val="32"/>
          <w:szCs w:val="32"/>
        </w:rPr>
        <w:t>两个会计</w:t>
      </w:r>
      <w:r>
        <w:rPr>
          <w:rFonts w:hint="eastAsia" w:ascii="仿宋_GB2312" w:hAnsi="仿宋_GB2312" w:eastAsia="仿宋_GB2312" w:cs="仿宋_GB2312"/>
          <w:sz w:val="32"/>
          <w:szCs w:val="32"/>
          <w:lang w:val="zh-CN"/>
        </w:rPr>
        <w:t>年度的平均值达到</w:t>
      </w:r>
      <w:r>
        <w:rPr>
          <w:rFonts w:hint="eastAsia" w:ascii="仿宋_GB2312" w:hAnsi="仿宋_GB2312" w:eastAsia="仿宋_GB2312" w:cs="仿宋_GB2312"/>
          <w:sz w:val="32"/>
          <w:szCs w:val="32"/>
        </w:rPr>
        <w:t>本协议承诺的年产值（年销售总额）的80%以上、年纳税总额的80%以上，则视乙方项目考核达标。</w:t>
      </w:r>
    </w:p>
    <w:p>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 xml:space="preserve">4.2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如项目效益经甲方考核不达标，则乙方须于考核期结束后的次年</w:t>
      </w:r>
      <w:r>
        <w:rPr>
          <w:rFonts w:hint="eastAsia" w:ascii="仿宋_GB2312" w:hAnsi="仿宋_GB2312" w:eastAsia="仿宋_GB2312" w:cs="仿宋_GB2312"/>
          <w:sz w:val="32"/>
          <w:szCs w:val="32"/>
        </w:rPr>
        <w:t>6月30日之前，</w:t>
      </w:r>
      <w:r>
        <w:rPr>
          <w:rFonts w:hint="eastAsia" w:ascii="仿宋_GB2312" w:hAnsi="仿宋_GB2312" w:eastAsia="仿宋_GB2312" w:cs="仿宋_GB2312"/>
          <w:sz w:val="32"/>
          <w:szCs w:val="32"/>
          <w:lang w:val="zh-CN"/>
        </w:rPr>
        <w:t>按税收贡献不足的比例，一次性向甲方补偿基础设施费，补偿金额=</w:t>
      </w:r>
      <w:r>
        <w:rPr>
          <w:rFonts w:hint="eastAsia" w:ascii="仿宋_GB2312" w:hAnsi="仿宋_GB2312" w:eastAsia="仿宋_GB2312" w:cs="仿宋_GB2312"/>
          <w:sz w:val="32"/>
          <w:szCs w:val="32"/>
          <w:u w:val="single"/>
          <w:lang w:val="en-US" w:eastAsia="zh-CN"/>
        </w:rPr>
        <w:t xml:space="preserve"> 15</w:t>
      </w:r>
      <w:r>
        <w:rPr>
          <w:rFonts w:hint="eastAsia" w:ascii="仿宋_GB2312" w:hAnsi="仿宋_GB2312" w:eastAsia="仿宋_GB2312" w:cs="仿宋_GB2312"/>
          <w:sz w:val="32"/>
          <w:szCs w:val="32"/>
          <w:lang w:val="zh-CN"/>
        </w:rPr>
        <w:t>万元/亩*项目土地面积（亩）*（1-税收贡献达成率），且不享受有关扶持政策，如已享受的，则按比例退还。</w:t>
      </w:r>
      <w:r>
        <w:rPr>
          <w:rFonts w:hint="eastAsia" w:ascii="仿宋_GB2312" w:hAnsi="仿宋_GB2312" w:eastAsia="仿宋_GB2312" w:cs="仿宋_GB2312"/>
          <w:sz w:val="32"/>
          <w:szCs w:val="32"/>
          <w:lang w:val="zh-CN"/>
        </w:rPr>
        <w:br w:type="textWrapping"/>
      </w:r>
      <w:r>
        <w:rPr>
          <w:rFonts w:hint="eastAsia" w:ascii="仿宋_GB2312" w:hAnsi="仿宋_GB2312" w:eastAsia="仿宋_GB2312" w:cs="仿宋_GB2312"/>
          <w:sz w:val="32"/>
          <w:szCs w:val="32"/>
        </w:rPr>
        <w:t xml:space="preserve">    4.3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考核合格后，如甲方发现乙方出现故意转移产值、税收到异地的行为，由甲方认定的第三方审计机构出具报告核定以上行为，在乙方存在以上行为的情形下，甲方有权对</w:t>
      </w: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val="zh-CN"/>
        </w:rPr>
        <w:t>相关失信行为依法认定并予以惩戒。</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第五条  违约责任</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5.1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乙方在取得土地后（自《国有建设用地交地确认书》签订日期起计），超过3个月仍未实质性进场动工开展桩基工程建设的，</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sz w:val="32"/>
          <w:szCs w:val="32"/>
          <w:highlight w:val="none"/>
        </w:rPr>
        <w:t>未按时动工的违约金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时的出让</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总额的1‰，直至项目用地正式动工或进入盘整收回程序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一年</w:t>
      </w:r>
      <w:r>
        <w:rPr>
          <w:rFonts w:hint="eastAsia" w:ascii="仿宋_GB2312" w:hAnsi="仿宋_GB2312" w:eastAsia="仿宋_GB2312" w:cs="仿宋_GB2312"/>
          <w:sz w:val="32"/>
          <w:szCs w:val="32"/>
          <w:highlight w:val="none"/>
        </w:rPr>
        <w:t>仍未</w:t>
      </w:r>
      <w:r>
        <w:rPr>
          <w:rFonts w:hint="eastAsia" w:ascii="仿宋_GB2312" w:hAnsi="仿宋_GB2312" w:eastAsia="仿宋_GB2312" w:cs="仿宋_GB2312"/>
          <w:sz w:val="32"/>
          <w:szCs w:val="32"/>
          <w:highlight w:val="none"/>
          <w:lang w:val="en-US" w:eastAsia="zh-CN"/>
        </w:rPr>
        <w:t>动工开发（本协议所称“动工开发”是指企业依法取得施工许可证后，需挖深基坑的项目，基坑开挖完毕；使用桩基的项目，打入所有基础桩；其他项目，地基施工完成三分之一。）</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依法缴纳土地闲置费；</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两年仍未动工开发</w:t>
      </w:r>
      <w:r>
        <w:rPr>
          <w:rFonts w:hint="eastAsia" w:ascii="仿宋_GB2312" w:hAnsi="仿宋_GB2312" w:eastAsia="仿宋_GB2312" w:cs="仿宋_GB2312"/>
          <w:sz w:val="32"/>
          <w:szCs w:val="32"/>
          <w:highlight w:val="none"/>
        </w:rPr>
        <w:t>的，甲方</w:t>
      </w:r>
      <w:r>
        <w:rPr>
          <w:rFonts w:hint="eastAsia" w:ascii="仿宋_GB2312" w:hAnsi="仿宋_GB2312" w:eastAsia="仿宋_GB2312" w:cs="仿宋_GB2312"/>
          <w:sz w:val="32"/>
          <w:szCs w:val="32"/>
          <w:highlight w:val="none"/>
          <w:lang w:val="en-US" w:eastAsia="zh-CN"/>
        </w:rPr>
        <w:t>有权</w:t>
      </w:r>
      <w:r>
        <w:rPr>
          <w:rFonts w:hint="eastAsia" w:ascii="仿宋_GB2312" w:hAnsi="仿宋_GB2312" w:eastAsia="仿宋_GB2312" w:cs="仿宋_GB2312"/>
          <w:sz w:val="32"/>
          <w:szCs w:val="32"/>
          <w:highlight w:val="none"/>
        </w:rPr>
        <w:t>提请自然资源部门无偿收回</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 xml:space="preserve">。如涉及闲置土地的，则依照《闲置土地处置办法》（国土资源部令第53号）进行处理。如确因不可抗力因素、政府政策调整或甲方本身原因造成乙方项目用地开发建设时间延迟的，以上时限顺延。   </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5.2</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乙方在取得土地后（自《国有建设用地交地确认书》签订日期起计），24个月内未完成建设工程竣工验收备案，经甲方书面催告后仍未按要求完成</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b w:val="0"/>
          <w:bCs w:val="0"/>
          <w:sz w:val="32"/>
          <w:szCs w:val="32"/>
          <w:highlight w:val="none"/>
        </w:rPr>
        <w:t>未按时</w:t>
      </w:r>
      <w:r>
        <w:rPr>
          <w:rFonts w:hint="eastAsia" w:ascii="仿宋_GB2312" w:hAnsi="仿宋_GB2312" w:eastAsia="仿宋_GB2312" w:cs="仿宋_GB2312"/>
          <w:b w:val="0"/>
          <w:bCs w:val="0"/>
          <w:sz w:val="32"/>
          <w:szCs w:val="32"/>
          <w:highlight w:val="none"/>
          <w:lang w:val="en-US" w:eastAsia="zh-CN"/>
        </w:rPr>
        <w:t>竣工</w:t>
      </w:r>
      <w:r>
        <w:rPr>
          <w:rFonts w:hint="eastAsia" w:ascii="仿宋_GB2312" w:hAnsi="仿宋_GB2312" w:eastAsia="仿宋_GB2312" w:cs="仿宋_GB2312"/>
          <w:b w:val="0"/>
          <w:bCs w:val="0"/>
          <w:sz w:val="32"/>
          <w:szCs w:val="32"/>
          <w:highlight w:val="none"/>
        </w:rPr>
        <w:t>的违约金</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w:t>
      </w:r>
      <w:r>
        <w:rPr>
          <w:rFonts w:hint="eastAsia" w:ascii="仿宋_GB2312" w:hAnsi="仿宋_GB2312" w:eastAsia="仿宋_GB2312" w:cs="仿宋_GB2312"/>
          <w:sz w:val="32"/>
          <w:szCs w:val="32"/>
          <w:highlight w:val="none"/>
        </w:rPr>
        <w:t>土地使用权时的土地出让价格</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的1‰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超过36个月</w:t>
      </w:r>
      <w:r>
        <w:rPr>
          <w:rFonts w:hint="eastAsia" w:ascii="仿宋_GB2312" w:hAnsi="仿宋_GB2312" w:eastAsia="仿宋_GB2312" w:cs="仿宋_GB2312"/>
          <w:sz w:val="32"/>
          <w:szCs w:val="32"/>
        </w:rPr>
        <w:t>仍未完成项目全部投资建设计划并达到约定的建筑容积率的，</w:t>
      </w:r>
      <w:r>
        <w:rPr>
          <w:rFonts w:hint="eastAsia" w:ascii="仿宋_GB2312" w:hAnsi="仿宋_GB2312" w:eastAsia="仿宋_GB2312" w:cs="仿宋_GB2312"/>
          <w:sz w:val="32"/>
          <w:szCs w:val="32"/>
          <w:highlight w:val="none"/>
        </w:rPr>
        <w:t>甲方有权</w:t>
      </w:r>
      <w:r>
        <w:rPr>
          <w:rFonts w:hint="eastAsia" w:ascii="仿宋_GB2312" w:hAnsi="仿宋_GB2312" w:eastAsia="仿宋_GB2312" w:cs="仿宋_GB2312"/>
          <w:sz w:val="32"/>
          <w:szCs w:val="32"/>
          <w:highlight w:val="none"/>
          <w:lang w:val="en-US" w:eastAsia="zh-CN"/>
        </w:rPr>
        <w:t>提请自然资源部门</w:t>
      </w:r>
      <w:r>
        <w:rPr>
          <w:rFonts w:hint="eastAsia" w:ascii="仿宋_GB2312" w:hAnsi="仿宋_GB2312" w:eastAsia="仿宋_GB2312" w:cs="仿宋_GB2312"/>
          <w:sz w:val="32"/>
          <w:szCs w:val="32"/>
          <w:highlight w:val="none"/>
        </w:rPr>
        <w:t>收回尚未开发建设土地</w:t>
      </w:r>
      <w:r>
        <w:rPr>
          <w:rFonts w:hint="eastAsia" w:ascii="仿宋_GB2312" w:hAnsi="仿宋_GB2312" w:eastAsia="仿宋_GB2312" w:cs="仿宋_GB2312"/>
          <w:sz w:val="32"/>
          <w:szCs w:val="32"/>
          <w:highlight w:val="none"/>
          <w:lang w:val="en-US" w:eastAsia="zh-CN"/>
        </w:rPr>
        <w:t>的国有建设用地使用权。</w:t>
      </w:r>
      <w:r>
        <w:rPr>
          <w:rFonts w:hint="eastAsia" w:ascii="仿宋_GB2312" w:hAnsi="仿宋_GB2312" w:eastAsia="仿宋_GB2312" w:cs="仿宋_GB2312"/>
          <w:sz w:val="32"/>
          <w:szCs w:val="32"/>
          <w:highlight w:val="none"/>
          <w:lang w:eastAsia="zh-CN"/>
        </w:rPr>
        <w:br w:type="textWrapping"/>
      </w:r>
      <w:r>
        <w:rPr>
          <w:rFonts w:hint="eastAsia" w:ascii="仿宋_GB2312" w:hAnsi="仿宋_GB2312" w:eastAsia="仿宋_GB2312" w:cs="仿宋_GB2312"/>
          <w:sz w:val="32"/>
          <w:szCs w:val="32"/>
          <w:highlight w:val="none"/>
        </w:rPr>
        <w:t xml:space="preserve">    5.3  若因乙方经营不善等原因，乙方确实需要转让</w:t>
      </w:r>
      <w:r>
        <w:rPr>
          <w:rFonts w:hint="eastAsia" w:ascii="仿宋_GB2312" w:hAnsi="仿宋_GB2312" w:eastAsia="仿宋_GB2312" w:cs="仿宋_GB2312"/>
          <w:sz w:val="32"/>
          <w:szCs w:val="32"/>
          <w:highlight w:val="none"/>
          <w:lang w:val="en-US" w:eastAsia="zh-CN"/>
        </w:rPr>
        <w:t>或处置</w:t>
      </w:r>
      <w:r>
        <w:rPr>
          <w:rFonts w:hint="eastAsia" w:ascii="仿宋_GB2312" w:hAnsi="仿宋_GB2312" w:eastAsia="仿宋_GB2312" w:cs="仿宋_GB2312"/>
          <w:sz w:val="32"/>
          <w:szCs w:val="32"/>
          <w:highlight w:val="none"/>
        </w:rPr>
        <w:t>（无论何种方式）该项目用地及其地上建筑物时，</w:t>
      </w:r>
      <w:r>
        <w:rPr>
          <w:rFonts w:hint="eastAsia" w:ascii="仿宋_GB2312" w:hAnsi="仿宋_GB2312" w:eastAsia="仿宋_GB2312" w:cs="仿宋_GB2312"/>
          <w:sz w:val="32"/>
          <w:szCs w:val="32"/>
          <w:highlight w:val="none"/>
          <w:lang w:val="en-US" w:eastAsia="zh-CN"/>
        </w:rPr>
        <w:t>应取得甲方书面同意，</w:t>
      </w:r>
      <w:r>
        <w:rPr>
          <w:rFonts w:hint="eastAsia" w:ascii="仿宋_GB2312" w:hAnsi="仿宋_GB2312" w:eastAsia="仿宋_GB2312" w:cs="仿宋_GB2312"/>
          <w:sz w:val="32"/>
          <w:szCs w:val="32"/>
          <w:highlight w:val="none"/>
        </w:rPr>
        <w:t>受让方需经甲方认可且该地块需符合甲方产业发展方向。乙方同意甲方或</w:t>
      </w:r>
      <w:r>
        <w:rPr>
          <w:rFonts w:hint="eastAsia" w:ascii="仿宋_GB2312" w:hAnsi="仿宋_GB2312" w:eastAsia="仿宋_GB2312" w:cs="仿宋_GB2312"/>
          <w:sz w:val="32"/>
          <w:szCs w:val="32"/>
          <w:highlight w:val="none"/>
          <w:lang w:val="en-US" w:eastAsia="zh-CN"/>
        </w:rPr>
        <w:t>甲方</w:t>
      </w:r>
      <w:r>
        <w:rPr>
          <w:rFonts w:hint="eastAsia" w:ascii="仿宋_GB2312" w:hAnsi="仿宋_GB2312" w:eastAsia="仿宋_GB2312" w:cs="仿宋_GB2312"/>
          <w:sz w:val="32"/>
          <w:szCs w:val="32"/>
          <w:highlight w:val="none"/>
        </w:rPr>
        <w:t>指定单位在同等条件下享有优先购买权。</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5.4  </w:t>
      </w:r>
      <w:r>
        <w:rPr>
          <w:rFonts w:hint="eastAsia" w:ascii="仿宋_GB2312" w:hAnsi="仿宋_GB2312" w:eastAsia="仿宋_GB2312" w:cs="仿宋_GB2312"/>
          <w:color w:val="auto"/>
          <w:kern w:val="0"/>
          <w:sz w:val="32"/>
          <w:szCs w:val="32"/>
          <w:highlight w:val="none"/>
        </w:rPr>
        <w:t>如乙方违反本协议约定第一条、第三条内容，</w:t>
      </w:r>
      <w:r>
        <w:rPr>
          <w:rFonts w:hint="eastAsia" w:ascii="仿宋_GB2312" w:hAnsi="仿宋_GB2312" w:eastAsia="仿宋_GB2312" w:cs="仿宋_GB2312"/>
          <w:color w:val="auto"/>
          <w:kern w:val="0"/>
          <w:sz w:val="32"/>
          <w:szCs w:val="32"/>
          <w:highlight w:val="none"/>
          <w:lang w:val="zh-CN"/>
        </w:rPr>
        <w:t>以及存在其它违约行为的，甲方有权追究乙方违约责任。</w:t>
      </w:r>
      <w:r>
        <w:rPr>
          <w:rFonts w:hint="eastAsia" w:ascii="仿宋_GB2312" w:hAnsi="仿宋_GB2312" w:eastAsia="仿宋_GB2312" w:cs="仿宋_GB2312"/>
          <w:color w:val="auto"/>
          <w:kern w:val="0"/>
          <w:sz w:val="32"/>
          <w:szCs w:val="32"/>
          <w:highlight w:val="none"/>
        </w:rPr>
        <w:t>甲方有权视情况决定是否给予乙方相应的整改时间，整改期最长不超过一年。</w:t>
      </w:r>
      <w:r>
        <w:rPr>
          <w:rFonts w:hint="eastAsia" w:ascii="仿宋_GB2312" w:hAnsi="仿宋_GB2312" w:eastAsia="仿宋_GB2312" w:cs="仿宋_GB2312"/>
          <w:color w:val="auto"/>
          <w:kern w:val="0"/>
          <w:sz w:val="32"/>
          <w:szCs w:val="32"/>
          <w:highlight w:val="none"/>
        </w:rPr>
        <w:br w:type="textWrapping"/>
      </w:r>
      <w:r>
        <w:rPr>
          <w:rFonts w:hint="eastAsia" w:ascii="仿宋_GB2312" w:hAnsi="仿宋_GB2312" w:eastAsia="仿宋_GB2312" w:cs="仿宋_GB2312"/>
          <w:sz w:val="32"/>
          <w:szCs w:val="32"/>
        </w:rPr>
        <w:t xml:space="preserve">   5.</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宗地的《国有建设用地使用权出让合同》提前解除的，本协议自动提前解除。若因乙方原因导致《国有建设用地使用权出让合同》提前解除的，乙方依照本协议约定承担相应的违约责任，不影响自然资源部门依据有关法律法规和宗地的《国有建设用地使用权出让合同》追究其相关法律责任。</w:t>
      </w:r>
    </w:p>
    <w:p>
      <w:pPr>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第六条 争议解决方式</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本协议在履行过程中发生争议，双方应友好协商解决，若协商不成的，双方均可向甲方所在地人民法院提起诉讼，以解决争议。</w:t>
      </w:r>
    </w:p>
    <w:p>
      <w:pPr>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第七条 协议书效力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本协议自双方法定代表人或授权代表签字并加盖公章之日起生效。本协议一式陆份，甲乙双方各执贰份，报博罗县科技工业和信息化局壹份，报博罗县自然资源局壹份，具有同等法律效力。</w:t>
      </w:r>
    </w:p>
    <w:p>
      <w:pPr>
        <w:ind w:left="959" w:leftChars="304" w:hanging="321" w:hangingChars="1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第八条  其他事项</w:t>
      </w:r>
    </w:p>
    <w:p>
      <w:pPr>
        <w:widowControl/>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本协议未尽事宜，经双方协商一致，可另行签订补充协议，补充协议与本协议具有同等法律效力。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本协议签订</w:t>
      </w:r>
      <w:r>
        <w:rPr>
          <w:rFonts w:hint="eastAsia" w:ascii="仿宋_GB2312" w:hAnsi="仿宋_GB2312" w:eastAsia="仿宋_GB2312" w:cs="仿宋_GB2312"/>
          <w:sz w:val="32"/>
          <w:szCs w:val="32"/>
          <w:lang w:val="en-US" w:eastAsia="zh-CN"/>
        </w:rPr>
        <w:t>之</w:t>
      </w:r>
      <w:r>
        <w:rPr>
          <w:rFonts w:hint="eastAsia" w:ascii="仿宋_GB2312" w:hAnsi="仿宋_GB2312" w:eastAsia="仿宋_GB2312" w:cs="仿宋_GB2312"/>
          <w:sz w:val="32"/>
          <w:szCs w:val="32"/>
        </w:rPr>
        <w:t>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广东省及惠州市、博罗县颁布的关于产业用地的法律、法规、政策性文件等，对本协议</w:t>
      </w:r>
      <w:r>
        <w:rPr>
          <w:rFonts w:hint="eastAsia" w:ascii="仿宋_GB2312" w:hAnsi="仿宋_GB2312" w:eastAsia="仿宋_GB2312" w:cs="仿宋_GB2312"/>
          <w:sz w:val="32"/>
          <w:szCs w:val="32"/>
          <w:lang w:val="en-US" w:eastAsia="zh-CN"/>
        </w:rPr>
        <w:t>均有法律约束力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如本协议签订之后上述法律、法规及政策性文件有新的规定如修改、变更或废止，适用新的规定。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---------------以下无正文，为签署页------------------</w:t>
      </w:r>
    </w:p>
    <w:p>
      <w:pPr>
        <w:pStyle w:val="2"/>
        <w:spacing w:line="600" w:lineRule="auto"/>
        <w:rPr>
          <w:rFonts w:ascii="黑体" w:hAnsi="黑体" w:eastAsia="黑体" w:cs="黑体"/>
          <w:sz w:val="28"/>
          <w:szCs w:val="28"/>
        </w:rPr>
      </w:pPr>
      <w:r>
        <w:rPr>
          <w:rFonts w:hint="eastAsia" w:ascii="黑体" w:hAnsi="黑体" w:eastAsia="黑体" w:cs="黑体"/>
          <w:sz w:val="28"/>
          <w:szCs w:val="28"/>
        </w:rPr>
        <w:t>甲方：（公章）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乙方：（公章）</w:t>
      </w:r>
    </w:p>
    <w:p>
      <w:pPr>
        <w:wordWrap w:val="0"/>
        <w:spacing w:line="600" w:lineRule="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p>
    <w:p>
      <w:pPr>
        <w:wordWrap w:val="0"/>
        <w:spacing w:line="600" w:lineRule="auto"/>
        <w:rPr>
          <w:rFonts w:ascii="仿宋" w:hAnsi="仿宋" w:eastAsia="仿宋"/>
          <w:sz w:val="32"/>
          <w:szCs w:val="32"/>
        </w:rPr>
      </w:pPr>
      <w:r>
        <w:rPr>
          <w:rFonts w:hint="eastAsia" w:ascii="仿宋_GB2312" w:hAnsi="仿宋_GB2312" w:eastAsia="仿宋_GB2312" w:cs="仿宋_GB2312"/>
          <w:sz w:val="32"/>
          <w:szCs w:val="32"/>
          <w:lang w:val="zh-CN"/>
        </w:rPr>
        <w:t>签署日期：  年  月  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签署日期：  年  月  日</w:t>
      </w:r>
    </w:p>
    <w:sectPr>
      <w:pgSz w:w="11906" w:h="16838"/>
      <w:pgMar w:top="1587" w:right="1474" w:bottom="1587"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ExMDJmZmM2N2FmYTYwNWUzZjczZjEwMTBiZmYwNjgifQ=="/>
  </w:docVars>
  <w:rsids>
    <w:rsidRoot w:val="00C51E15"/>
    <w:rsid w:val="0026659F"/>
    <w:rsid w:val="004A0487"/>
    <w:rsid w:val="005A6119"/>
    <w:rsid w:val="007F355A"/>
    <w:rsid w:val="00A47E2F"/>
    <w:rsid w:val="00B95479"/>
    <w:rsid w:val="00BC2AB9"/>
    <w:rsid w:val="00BC621D"/>
    <w:rsid w:val="00C51E15"/>
    <w:rsid w:val="00E25213"/>
    <w:rsid w:val="00F776A6"/>
    <w:rsid w:val="00FC7E8B"/>
    <w:rsid w:val="011A2D9A"/>
    <w:rsid w:val="012E2AD5"/>
    <w:rsid w:val="01676E14"/>
    <w:rsid w:val="019415C6"/>
    <w:rsid w:val="01AE6899"/>
    <w:rsid w:val="01C70C78"/>
    <w:rsid w:val="01C76624"/>
    <w:rsid w:val="02277D98"/>
    <w:rsid w:val="024E43D4"/>
    <w:rsid w:val="02650DE4"/>
    <w:rsid w:val="02B70580"/>
    <w:rsid w:val="02C9567B"/>
    <w:rsid w:val="0308230D"/>
    <w:rsid w:val="03377BD5"/>
    <w:rsid w:val="034B5252"/>
    <w:rsid w:val="0364779F"/>
    <w:rsid w:val="037B67FA"/>
    <w:rsid w:val="039074DB"/>
    <w:rsid w:val="03A8118D"/>
    <w:rsid w:val="041848D3"/>
    <w:rsid w:val="04214189"/>
    <w:rsid w:val="045370A8"/>
    <w:rsid w:val="04913698"/>
    <w:rsid w:val="04BB1F4F"/>
    <w:rsid w:val="04DF7FDC"/>
    <w:rsid w:val="0512295E"/>
    <w:rsid w:val="05382B9E"/>
    <w:rsid w:val="05422B67"/>
    <w:rsid w:val="05734F81"/>
    <w:rsid w:val="059C4228"/>
    <w:rsid w:val="05D23250"/>
    <w:rsid w:val="064829DB"/>
    <w:rsid w:val="07526710"/>
    <w:rsid w:val="082552A6"/>
    <w:rsid w:val="08292EF0"/>
    <w:rsid w:val="08316DF2"/>
    <w:rsid w:val="083D5414"/>
    <w:rsid w:val="08464B3C"/>
    <w:rsid w:val="08A34DB8"/>
    <w:rsid w:val="08B96F5C"/>
    <w:rsid w:val="08BF6E70"/>
    <w:rsid w:val="08D87811"/>
    <w:rsid w:val="08E7038B"/>
    <w:rsid w:val="091927F9"/>
    <w:rsid w:val="099610F2"/>
    <w:rsid w:val="0A270255"/>
    <w:rsid w:val="0A2E0793"/>
    <w:rsid w:val="0ADB6E6A"/>
    <w:rsid w:val="0ADC099B"/>
    <w:rsid w:val="0B1D41C8"/>
    <w:rsid w:val="0B3C0212"/>
    <w:rsid w:val="0B3D24FE"/>
    <w:rsid w:val="0B3E7F80"/>
    <w:rsid w:val="0B6A42C7"/>
    <w:rsid w:val="0B914186"/>
    <w:rsid w:val="0BDD0D82"/>
    <w:rsid w:val="0BE07789"/>
    <w:rsid w:val="0BEF300D"/>
    <w:rsid w:val="0BEF7B7B"/>
    <w:rsid w:val="0C0C18D2"/>
    <w:rsid w:val="0C172856"/>
    <w:rsid w:val="0C2357A7"/>
    <w:rsid w:val="0C281202"/>
    <w:rsid w:val="0C351511"/>
    <w:rsid w:val="0C4733EC"/>
    <w:rsid w:val="0C976816"/>
    <w:rsid w:val="0D0F0422"/>
    <w:rsid w:val="0D6976AE"/>
    <w:rsid w:val="0D8F1A4E"/>
    <w:rsid w:val="0D9B6787"/>
    <w:rsid w:val="0DF85DEA"/>
    <w:rsid w:val="0E282623"/>
    <w:rsid w:val="0E822B53"/>
    <w:rsid w:val="0ECB39D4"/>
    <w:rsid w:val="0ED30DE0"/>
    <w:rsid w:val="0EDF1504"/>
    <w:rsid w:val="0EE90E17"/>
    <w:rsid w:val="0EFF5127"/>
    <w:rsid w:val="0F290764"/>
    <w:rsid w:val="0F972196"/>
    <w:rsid w:val="0FB14700"/>
    <w:rsid w:val="0FB2044E"/>
    <w:rsid w:val="0FBF7E1F"/>
    <w:rsid w:val="0FDF0558"/>
    <w:rsid w:val="0FF81C1F"/>
    <w:rsid w:val="10196EF9"/>
    <w:rsid w:val="10961D46"/>
    <w:rsid w:val="10E82A49"/>
    <w:rsid w:val="1126252E"/>
    <w:rsid w:val="112C63A2"/>
    <w:rsid w:val="11527EFA"/>
    <w:rsid w:val="115527FA"/>
    <w:rsid w:val="11632393"/>
    <w:rsid w:val="11A021F8"/>
    <w:rsid w:val="11F64981"/>
    <w:rsid w:val="121534BC"/>
    <w:rsid w:val="121F0548"/>
    <w:rsid w:val="12D77CF6"/>
    <w:rsid w:val="12D83B09"/>
    <w:rsid w:val="12F14123"/>
    <w:rsid w:val="133C390A"/>
    <w:rsid w:val="135C76DB"/>
    <w:rsid w:val="13611602"/>
    <w:rsid w:val="13B74DE6"/>
    <w:rsid w:val="13C04D72"/>
    <w:rsid w:val="144D12B4"/>
    <w:rsid w:val="147F7A2F"/>
    <w:rsid w:val="148560A6"/>
    <w:rsid w:val="148854BE"/>
    <w:rsid w:val="14B51486"/>
    <w:rsid w:val="14B94B2A"/>
    <w:rsid w:val="14C408EE"/>
    <w:rsid w:val="14DC1F31"/>
    <w:rsid w:val="157F42CF"/>
    <w:rsid w:val="15CC22D2"/>
    <w:rsid w:val="15E16110"/>
    <w:rsid w:val="16010852"/>
    <w:rsid w:val="161613C6"/>
    <w:rsid w:val="163C3251"/>
    <w:rsid w:val="16BE3BDD"/>
    <w:rsid w:val="16FB3447"/>
    <w:rsid w:val="17612369"/>
    <w:rsid w:val="17E917A5"/>
    <w:rsid w:val="17FB2B64"/>
    <w:rsid w:val="182F6239"/>
    <w:rsid w:val="184503DD"/>
    <w:rsid w:val="186C6EF8"/>
    <w:rsid w:val="18790310"/>
    <w:rsid w:val="188E2C3C"/>
    <w:rsid w:val="18C621A1"/>
    <w:rsid w:val="18C64525"/>
    <w:rsid w:val="192A256C"/>
    <w:rsid w:val="19821952"/>
    <w:rsid w:val="19857C91"/>
    <w:rsid w:val="19C2061D"/>
    <w:rsid w:val="19E93816"/>
    <w:rsid w:val="1A355893"/>
    <w:rsid w:val="1A5D684E"/>
    <w:rsid w:val="1A5E3FC4"/>
    <w:rsid w:val="1AA93096"/>
    <w:rsid w:val="1AC441A6"/>
    <w:rsid w:val="1B3B043B"/>
    <w:rsid w:val="1B78249E"/>
    <w:rsid w:val="1BB250A6"/>
    <w:rsid w:val="1BC94988"/>
    <w:rsid w:val="1BDB2542"/>
    <w:rsid w:val="1C1B552A"/>
    <w:rsid w:val="1C20546C"/>
    <w:rsid w:val="1C5B7FB0"/>
    <w:rsid w:val="1C865EC5"/>
    <w:rsid w:val="1C9B387A"/>
    <w:rsid w:val="1CBB4AAC"/>
    <w:rsid w:val="1CD367B7"/>
    <w:rsid w:val="1CDC4E5D"/>
    <w:rsid w:val="1CF91695"/>
    <w:rsid w:val="1D0609AB"/>
    <w:rsid w:val="1D315072"/>
    <w:rsid w:val="1DA73053"/>
    <w:rsid w:val="1E15696A"/>
    <w:rsid w:val="1E2B77AC"/>
    <w:rsid w:val="1E2E7EE0"/>
    <w:rsid w:val="1E3116DB"/>
    <w:rsid w:val="1E79638F"/>
    <w:rsid w:val="1E7C1891"/>
    <w:rsid w:val="1EBA6373"/>
    <w:rsid w:val="1EF71280"/>
    <w:rsid w:val="1F050471"/>
    <w:rsid w:val="1F300906"/>
    <w:rsid w:val="1F3E18CF"/>
    <w:rsid w:val="1F62660C"/>
    <w:rsid w:val="1F63408D"/>
    <w:rsid w:val="1FA02868"/>
    <w:rsid w:val="1FC737D5"/>
    <w:rsid w:val="1FD27BC4"/>
    <w:rsid w:val="1FFA018A"/>
    <w:rsid w:val="202E4A5B"/>
    <w:rsid w:val="20B03298"/>
    <w:rsid w:val="213434AE"/>
    <w:rsid w:val="213B01EA"/>
    <w:rsid w:val="21D457B9"/>
    <w:rsid w:val="21E64459"/>
    <w:rsid w:val="2206205E"/>
    <w:rsid w:val="2221070E"/>
    <w:rsid w:val="2224162A"/>
    <w:rsid w:val="22B010EC"/>
    <w:rsid w:val="23134730"/>
    <w:rsid w:val="2337347F"/>
    <w:rsid w:val="234C7C72"/>
    <w:rsid w:val="238F4123"/>
    <w:rsid w:val="23CA5246"/>
    <w:rsid w:val="23CC46B5"/>
    <w:rsid w:val="23CD03C9"/>
    <w:rsid w:val="24042E63"/>
    <w:rsid w:val="242B3FE6"/>
    <w:rsid w:val="243168D6"/>
    <w:rsid w:val="2450279E"/>
    <w:rsid w:val="249A6818"/>
    <w:rsid w:val="24B0565E"/>
    <w:rsid w:val="24C73E65"/>
    <w:rsid w:val="24EC6623"/>
    <w:rsid w:val="2514003F"/>
    <w:rsid w:val="251E08EF"/>
    <w:rsid w:val="2530186E"/>
    <w:rsid w:val="2567677E"/>
    <w:rsid w:val="259322B4"/>
    <w:rsid w:val="25BF43FD"/>
    <w:rsid w:val="25FE5CD1"/>
    <w:rsid w:val="26141908"/>
    <w:rsid w:val="27AC61A6"/>
    <w:rsid w:val="27BC380B"/>
    <w:rsid w:val="2804745B"/>
    <w:rsid w:val="28244B6B"/>
    <w:rsid w:val="28395A0A"/>
    <w:rsid w:val="285862BF"/>
    <w:rsid w:val="28593D41"/>
    <w:rsid w:val="286B2656"/>
    <w:rsid w:val="287732F1"/>
    <w:rsid w:val="28815BC0"/>
    <w:rsid w:val="28C500C8"/>
    <w:rsid w:val="28C67E0D"/>
    <w:rsid w:val="28D35441"/>
    <w:rsid w:val="2911201E"/>
    <w:rsid w:val="291B1DC8"/>
    <w:rsid w:val="29294452"/>
    <w:rsid w:val="29626771"/>
    <w:rsid w:val="298615D1"/>
    <w:rsid w:val="29FE7A7F"/>
    <w:rsid w:val="2A22083D"/>
    <w:rsid w:val="2A2255C4"/>
    <w:rsid w:val="2A421323"/>
    <w:rsid w:val="2A550AB3"/>
    <w:rsid w:val="2AB31C07"/>
    <w:rsid w:val="2AB97117"/>
    <w:rsid w:val="2ACB4C68"/>
    <w:rsid w:val="2ACF3266"/>
    <w:rsid w:val="2AFF7755"/>
    <w:rsid w:val="2B760D1B"/>
    <w:rsid w:val="2B86108A"/>
    <w:rsid w:val="2B900430"/>
    <w:rsid w:val="2BE77795"/>
    <w:rsid w:val="2C603E6B"/>
    <w:rsid w:val="2C91216D"/>
    <w:rsid w:val="2D325D72"/>
    <w:rsid w:val="2D3B21D3"/>
    <w:rsid w:val="2D5531EF"/>
    <w:rsid w:val="2DA80087"/>
    <w:rsid w:val="2DB23588"/>
    <w:rsid w:val="2DB404C0"/>
    <w:rsid w:val="2DD94720"/>
    <w:rsid w:val="2DEE7D7D"/>
    <w:rsid w:val="2DF15CE6"/>
    <w:rsid w:val="2E0E041F"/>
    <w:rsid w:val="2E1732AD"/>
    <w:rsid w:val="2E21163E"/>
    <w:rsid w:val="2E392908"/>
    <w:rsid w:val="2E7B3332"/>
    <w:rsid w:val="2EAC2937"/>
    <w:rsid w:val="2EC509B1"/>
    <w:rsid w:val="2F001A5F"/>
    <w:rsid w:val="2F1156C3"/>
    <w:rsid w:val="2F1E3589"/>
    <w:rsid w:val="2F9724A4"/>
    <w:rsid w:val="2FC57502"/>
    <w:rsid w:val="2FE243E4"/>
    <w:rsid w:val="2FF549B1"/>
    <w:rsid w:val="2FF96956"/>
    <w:rsid w:val="300B4C25"/>
    <w:rsid w:val="3068321E"/>
    <w:rsid w:val="307F0701"/>
    <w:rsid w:val="309637C7"/>
    <w:rsid w:val="309F22FD"/>
    <w:rsid w:val="30A9593A"/>
    <w:rsid w:val="310B0F64"/>
    <w:rsid w:val="310C7E12"/>
    <w:rsid w:val="311D7D22"/>
    <w:rsid w:val="3136614A"/>
    <w:rsid w:val="31427071"/>
    <w:rsid w:val="315A6D57"/>
    <w:rsid w:val="316F1843"/>
    <w:rsid w:val="317401E8"/>
    <w:rsid w:val="31930FE5"/>
    <w:rsid w:val="31A46D01"/>
    <w:rsid w:val="31CC443E"/>
    <w:rsid w:val="320B405E"/>
    <w:rsid w:val="323A36E6"/>
    <w:rsid w:val="323D2377"/>
    <w:rsid w:val="3265353C"/>
    <w:rsid w:val="32820F28"/>
    <w:rsid w:val="32926175"/>
    <w:rsid w:val="33236A81"/>
    <w:rsid w:val="332762B9"/>
    <w:rsid w:val="33842DA2"/>
    <w:rsid w:val="33853E39"/>
    <w:rsid w:val="3392652C"/>
    <w:rsid w:val="33BC3AED"/>
    <w:rsid w:val="34062C68"/>
    <w:rsid w:val="3410251B"/>
    <w:rsid w:val="34556F38"/>
    <w:rsid w:val="34857938"/>
    <w:rsid w:val="3491507B"/>
    <w:rsid w:val="34D76379"/>
    <w:rsid w:val="3502739C"/>
    <w:rsid w:val="354A1FFA"/>
    <w:rsid w:val="358906E1"/>
    <w:rsid w:val="35FF0824"/>
    <w:rsid w:val="361B0154"/>
    <w:rsid w:val="362045DC"/>
    <w:rsid w:val="36533C08"/>
    <w:rsid w:val="36B85A54"/>
    <w:rsid w:val="36F6333B"/>
    <w:rsid w:val="37105241"/>
    <w:rsid w:val="371C5779"/>
    <w:rsid w:val="374530BA"/>
    <w:rsid w:val="375D3F72"/>
    <w:rsid w:val="37926A3C"/>
    <w:rsid w:val="379D7E16"/>
    <w:rsid w:val="37DA6E30"/>
    <w:rsid w:val="37F31F59"/>
    <w:rsid w:val="381E3903"/>
    <w:rsid w:val="38643511"/>
    <w:rsid w:val="38F76303"/>
    <w:rsid w:val="39386D6D"/>
    <w:rsid w:val="394D12F5"/>
    <w:rsid w:val="3969753C"/>
    <w:rsid w:val="39756BD2"/>
    <w:rsid w:val="39767BC1"/>
    <w:rsid w:val="39D54578"/>
    <w:rsid w:val="39DE674D"/>
    <w:rsid w:val="3A100FCE"/>
    <w:rsid w:val="3ACC04C9"/>
    <w:rsid w:val="3AD252F8"/>
    <w:rsid w:val="3B5228DF"/>
    <w:rsid w:val="3B596975"/>
    <w:rsid w:val="3B9733D4"/>
    <w:rsid w:val="3B9D137C"/>
    <w:rsid w:val="3B9F7800"/>
    <w:rsid w:val="3BBD3623"/>
    <w:rsid w:val="3BCD656A"/>
    <w:rsid w:val="3BFC0B7A"/>
    <w:rsid w:val="3C296F8B"/>
    <w:rsid w:val="3C551209"/>
    <w:rsid w:val="3C7D016C"/>
    <w:rsid w:val="3C8412E6"/>
    <w:rsid w:val="3CDA6EE3"/>
    <w:rsid w:val="3CE355F4"/>
    <w:rsid w:val="3D1240D6"/>
    <w:rsid w:val="3D895D82"/>
    <w:rsid w:val="3D8F169D"/>
    <w:rsid w:val="3DB87064"/>
    <w:rsid w:val="3DE40616"/>
    <w:rsid w:val="3DF43FFE"/>
    <w:rsid w:val="3E403F76"/>
    <w:rsid w:val="3EB26AE9"/>
    <w:rsid w:val="3EBC1EBD"/>
    <w:rsid w:val="3ECD2B96"/>
    <w:rsid w:val="3EDC792D"/>
    <w:rsid w:val="3EEA0849"/>
    <w:rsid w:val="3EF603C8"/>
    <w:rsid w:val="3F9A4869"/>
    <w:rsid w:val="3FA374B5"/>
    <w:rsid w:val="40041E22"/>
    <w:rsid w:val="40415151"/>
    <w:rsid w:val="409C408B"/>
    <w:rsid w:val="40B07FB0"/>
    <w:rsid w:val="40E86709"/>
    <w:rsid w:val="40ED2F8C"/>
    <w:rsid w:val="411D49E5"/>
    <w:rsid w:val="413072B2"/>
    <w:rsid w:val="41916F22"/>
    <w:rsid w:val="41BC7842"/>
    <w:rsid w:val="42DA01BE"/>
    <w:rsid w:val="42DC36C1"/>
    <w:rsid w:val="42EB2656"/>
    <w:rsid w:val="42EF5F8C"/>
    <w:rsid w:val="4309548A"/>
    <w:rsid w:val="432E43C4"/>
    <w:rsid w:val="433B0C0C"/>
    <w:rsid w:val="436D751F"/>
    <w:rsid w:val="438C7FE1"/>
    <w:rsid w:val="43990316"/>
    <w:rsid w:val="43BD0295"/>
    <w:rsid w:val="43EB387E"/>
    <w:rsid w:val="446A3BD2"/>
    <w:rsid w:val="44703AD7"/>
    <w:rsid w:val="448C1D82"/>
    <w:rsid w:val="449E3321"/>
    <w:rsid w:val="44B25DF8"/>
    <w:rsid w:val="44C766E4"/>
    <w:rsid w:val="45541687"/>
    <w:rsid w:val="45AA1763"/>
    <w:rsid w:val="45C11989"/>
    <w:rsid w:val="46481C40"/>
    <w:rsid w:val="46881414"/>
    <w:rsid w:val="46BE5CC5"/>
    <w:rsid w:val="46D22D6C"/>
    <w:rsid w:val="47721B46"/>
    <w:rsid w:val="47EC5F8C"/>
    <w:rsid w:val="47F12CEC"/>
    <w:rsid w:val="48000AE0"/>
    <w:rsid w:val="480D1D44"/>
    <w:rsid w:val="4814319C"/>
    <w:rsid w:val="481F76E0"/>
    <w:rsid w:val="4843441C"/>
    <w:rsid w:val="485E084A"/>
    <w:rsid w:val="486205A1"/>
    <w:rsid w:val="48686BDB"/>
    <w:rsid w:val="486E5261"/>
    <w:rsid w:val="486F6565"/>
    <w:rsid w:val="48C2073C"/>
    <w:rsid w:val="48DB3696"/>
    <w:rsid w:val="48FB2466"/>
    <w:rsid w:val="49223A4C"/>
    <w:rsid w:val="49226CDE"/>
    <w:rsid w:val="493D7EB8"/>
    <w:rsid w:val="49592BC6"/>
    <w:rsid w:val="498C4BEF"/>
    <w:rsid w:val="49A2565E"/>
    <w:rsid w:val="49BC05CA"/>
    <w:rsid w:val="49EC47D8"/>
    <w:rsid w:val="4A117620"/>
    <w:rsid w:val="4A883A56"/>
    <w:rsid w:val="4ACA7FA3"/>
    <w:rsid w:val="4B0E260D"/>
    <w:rsid w:val="4B334AEF"/>
    <w:rsid w:val="4B3E2E80"/>
    <w:rsid w:val="4BA41A5C"/>
    <w:rsid w:val="4BA7122B"/>
    <w:rsid w:val="4BAC3627"/>
    <w:rsid w:val="4BB14B24"/>
    <w:rsid w:val="4BC446C5"/>
    <w:rsid w:val="4C2E6DD4"/>
    <w:rsid w:val="4C463A1A"/>
    <w:rsid w:val="4C5D54D6"/>
    <w:rsid w:val="4C641E09"/>
    <w:rsid w:val="4C9303D6"/>
    <w:rsid w:val="4CC539D7"/>
    <w:rsid w:val="4CD25495"/>
    <w:rsid w:val="4CDF47AB"/>
    <w:rsid w:val="4D0E5FA0"/>
    <w:rsid w:val="4D2209A4"/>
    <w:rsid w:val="4D2D680C"/>
    <w:rsid w:val="4D315822"/>
    <w:rsid w:val="4D3B4EC4"/>
    <w:rsid w:val="4DE1110B"/>
    <w:rsid w:val="4E254107"/>
    <w:rsid w:val="4E550E94"/>
    <w:rsid w:val="4E566916"/>
    <w:rsid w:val="4E645C2C"/>
    <w:rsid w:val="4E7F44A5"/>
    <w:rsid w:val="4EC318B0"/>
    <w:rsid w:val="4EEB715F"/>
    <w:rsid w:val="4EF81A68"/>
    <w:rsid w:val="4F065435"/>
    <w:rsid w:val="4F8571FB"/>
    <w:rsid w:val="4F8E6612"/>
    <w:rsid w:val="4F9F2130"/>
    <w:rsid w:val="4FB366DA"/>
    <w:rsid w:val="4FBA295A"/>
    <w:rsid w:val="4FBB0C11"/>
    <w:rsid w:val="4FBD2F57"/>
    <w:rsid w:val="500D2764"/>
    <w:rsid w:val="501555F2"/>
    <w:rsid w:val="50AF1F6D"/>
    <w:rsid w:val="50BF0009"/>
    <w:rsid w:val="50D40048"/>
    <w:rsid w:val="50D83132"/>
    <w:rsid w:val="50DB0FB3"/>
    <w:rsid w:val="51110D0D"/>
    <w:rsid w:val="51256551"/>
    <w:rsid w:val="51753D03"/>
    <w:rsid w:val="51850CCC"/>
    <w:rsid w:val="518976D2"/>
    <w:rsid w:val="519D1BF6"/>
    <w:rsid w:val="51A61FA1"/>
    <w:rsid w:val="51CB043B"/>
    <w:rsid w:val="52044E1D"/>
    <w:rsid w:val="52301DF7"/>
    <w:rsid w:val="52882588"/>
    <w:rsid w:val="52A1019F"/>
    <w:rsid w:val="52AA68B0"/>
    <w:rsid w:val="52DF2202"/>
    <w:rsid w:val="53587193"/>
    <w:rsid w:val="535D0A65"/>
    <w:rsid w:val="536642E0"/>
    <w:rsid w:val="539952B3"/>
    <w:rsid w:val="552227BC"/>
    <w:rsid w:val="558537AB"/>
    <w:rsid w:val="55C27E6C"/>
    <w:rsid w:val="55E02674"/>
    <w:rsid w:val="560143A9"/>
    <w:rsid w:val="560155FE"/>
    <w:rsid w:val="56AB6366"/>
    <w:rsid w:val="56C40453"/>
    <w:rsid w:val="56F1172B"/>
    <w:rsid w:val="575528C8"/>
    <w:rsid w:val="5765718D"/>
    <w:rsid w:val="5791383A"/>
    <w:rsid w:val="57923DCD"/>
    <w:rsid w:val="57A86F38"/>
    <w:rsid w:val="58024DF3"/>
    <w:rsid w:val="58217DE9"/>
    <w:rsid w:val="5842703C"/>
    <w:rsid w:val="58572D5B"/>
    <w:rsid w:val="58645D91"/>
    <w:rsid w:val="58BB6D98"/>
    <w:rsid w:val="58CC07E1"/>
    <w:rsid w:val="58D802CE"/>
    <w:rsid w:val="58DE7C59"/>
    <w:rsid w:val="58FB4A67"/>
    <w:rsid w:val="59136B44"/>
    <w:rsid w:val="591A79B9"/>
    <w:rsid w:val="59423B04"/>
    <w:rsid w:val="59821195"/>
    <w:rsid w:val="5986033A"/>
    <w:rsid w:val="59CA695D"/>
    <w:rsid w:val="59DF4100"/>
    <w:rsid w:val="59ED17CE"/>
    <w:rsid w:val="5A15290B"/>
    <w:rsid w:val="5A32284A"/>
    <w:rsid w:val="5A420BA5"/>
    <w:rsid w:val="5AD71099"/>
    <w:rsid w:val="5AD972E8"/>
    <w:rsid w:val="5AF04059"/>
    <w:rsid w:val="5B0D5282"/>
    <w:rsid w:val="5B81627E"/>
    <w:rsid w:val="5BB1333C"/>
    <w:rsid w:val="5BB740E9"/>
    <w:rsid w:val="5BCD0BCD"/>
    <w:rsid w:val="5BE73454"/>
    <w:rsid w:val="5C0F6B97"/>
    <w:rsid w:val="5C637A7E"/>
    <w:rsid w:val="5C8332D2"/>
    <w:rsid w:val="5CC5088A"/>
    <w:rsid w:val="5CF47641"/>
    <w:rsid w:val="5CF940DA"/>
    <w:rsid w:val="5D1C5A4F"/>
    <w:rsid w:val="5D2D376B"/>
    <w:rsid w:val="5D382F58"/>
    <w:rsid w:val="5D5126C5"/>
    <w:rsid w:val="5D724260"/>
    <w:rsid w:val="5DA917E0"/>
    <w:rsid w:val="5DC112B4"/>
    <w:rsid w:val="5E4E216F"/>
    <w:rsid w:val="5E911704"/>
    <w:rsid w:val="5ED94AAC"/>
    <w:rsid w:val="5EF35656"/>
    <w:rsid w:val="5F520E4D"/>
    <w:rsid w:val="5FE34F5E"/>
    <w:rsid w:val="60370C92"/>
    <w:rsid w:val="606D163F"/>
    <w:rsid w:val="60A81824"/>
    <w:rsid w:val="60C843C3"/>
    <w:rsid w:val="612B657A"/>
    <w:rsid w:val="6148772A"/>
    <w:rsid w:val="621C6244"/>
    <w:rsid w:val="6264347B"/>
    <w:rsid w:val="628A578E"/>
    <w:rsid w:val="62BE310D"/>
    <w:rsid w:val="62DB4C3B"/>
    <w:rsid w:val="62E4319F"/>
    <w:rsid w:val="634E73E4"/>
    <w:rsid w:val="637C6A62"/>
    <w:rsid w:val="63A578CE"/>
    <w:rsid w:val="63D619DB"/>
    <w:rsid w:val="64001214"/>
    <w:rsid w:val="640805B1"/>
    <w:rsid w:val="64785D59"/>
    <w:rsid w:val="64860DFC"/>
    <w:rsid w:val="64D91940"/>
    <w:rsid w:val="64DF09E7"/>
    <w:rsid w:val="65064128"/>
    <w:rsid w:val="65320613"/>
    <w:rsid w:val="65694370"/>
    <w:rsid w:val="65A64FE6"/>
    <w:rsid w:val="65B41197"/>
    <w:rsid w:val="65C76908"/>
    <w:rsid w:val="65DD55C7"/>
    <w:rsid w:val="66366456"/>
    <w:rsid w:val="66475F5D"/>
    <w:rsid w:val="668B6C10"/>
    <w:rsid w:val="668D2E4E"/>
    <w:rsid w:val="669D294D"/>
    <w:rsid w:val="66FC3AD2"/>
    <w:rsid w:val="6796478F"/>
    <w:rsid w:val="67B5141A"/>
    <w:rsid w:val="67E40952"/>
    <w:rsid w:val="67FF5CC6"/>
    <w:rsid w:val="68002D30"/>
    <w:rsid w:val="68355788"/>
    <w:rsid w:val="684734A4"/>
    <w:rsid w:val="68792B9A"/>
    <w:rsid w:val="687B6DF6"/>
    <w:rsid w:val="68C43ABF"/>
    <w:rsid w:val="68DC1E1F"/>
    <w:rsid w:val="68F71FC3"/>
    <w:rsid w:val="6920216A"/>
    <w:rsid w:val="693E40E9"/>
    <w:rsid w:val="69696A7E"/>
    <w:rsid w:val="696E54C3"/>
    <w:rsid w:val="69C30296"/>
    <w:rsid w:val="69EA5367"/>
    <w:rsid w:val="6A093F49"/>
    <w:rsid w:val="6A2E48C4"/>
    <w:rsid w:val="6A5B786D"/>
    <w:rsid w:val="6A613CEF"/>
    <w:rsid w:val="6A666F81"/>
    <w:rsid w:val="6B21034E"/>
    <w:rsid w:val="6B471450"/>
    <w:rsid w:val="6B6433C1"/>
    <w:rsid w:val="6B9F7B6E"/>
    <w:rsid w:val="6BE22309"/>
    <w:rsid w:val="6C290B81"/>
    <w:rsid w:val="6C481BC8"/>
    <w:rsid w:val="6C6C4AED"/>
    <w:rsid w:val="6CD04811"/>
    <w:rsid w:val="6D23209D"/>
    <w:rsid w:val="6D381096"/>
    <w:rsid w:val="6D4A44DB"/>
    <w:rsid w:val="6D8A2D46"/>
    <w:rsid w:val="6D8E174D"/>
    <w:rsid w:val="6DCF7660"/>
    <w:rsid w:val="6DFD45DB"/>
    <w:rsid w:val="6E0C5457"/>
    <w:rsid w:val="6E15428C"/>
    <w:rsid w:val="6E977A01"/>
    <w:rsid w:val="6EA35A11"/>
    <w:rsid w:val="6EA87C9B"/>
    <w:rsid w:val="6F434CB2"/>
    <w:rsid w:val="6F552398"/>
    <w:rsid w:val="6FEF56F2"/>
    <w:rsid w:val="6FF620E0"/>
    <w:rsid w:val="704E12D0"/>
    <w:rsid w:val="705E3C86"/>
    <w:rsid w:val="70EA3140"/>
    <w:rsid w:val="70F16817"/>
    <w:rsid w:val="715249E1"/>
    <w:rsid w:val="71BC5CAF"/>
    <w:rsid w:val="71CB76A4"/>
    <w:rsid w:val="724A458E"/>
    <w:rsid w:val="725E5956"/>
    <w:rsid w:val="72AC2609"/>
    <w:rsid w:val="730469FD"/>
    <w:rsid w:val="7328617A"/>
    <w:rsid w:val="736C7B74"/>
    <w:rsid w:val="73711DF2"/>
    <w:rsid w:val="73740A10"/>
    <w:rsid w:val="737D4FE1"/>
    <w:rsid w:val="73954454"/>
    <w:rsid w:val="73C65EE3"/>
    <w:rsid w:val="741C7FC3"/>
    <w:rsid w:val="745513BA"/>
    <w:rsid w:val="74611AB5"/>
    <w:rsid w:val="74B9560C"/>
    <w:rsid w:val="74C23D1D"/>
    <w:rsid w:val="74CB63DE"/>
    <w:rsid w:val="74E70588"/>
    <w:rsid w:val="74ED0240"/>
    <w:rsid w:val="7523723A"/>
    <w:rsid w:val="752836C2"/>
    <w:rsid w:val="753D7B3C"/>
    <w:rsid w:val="75626C9F"/>
    <w:rsid w:val="75D2086C"/>
    <w:rsid w:val="75E7244C"/>
    <w:rsid w:val="75F3408F"/>
    <w:rsid w:val="75F37912"/>
    <w:rsid w:val="768129FA"/>
    <w:rsid w:val="76A735CE"/>
    <w:rsid w:val="76AA3BBE"/>
    <w:rsid w:val="76C26CE6"/>
    <w:rsid w:val="76C8568D"/>
    <w:rsid w:val="76E118E2"/>
    <w:rsid w:val="772A798F"/>
    <w:rsid w:val="772D1387"/>
    <w:rsid w:val="777F291C"/>
    <w:rsid w:val="77954015"/>
    <w:rsid w:val="779A56C5"/>
    <w:rsid w:val="782810F4"/>
    <w:rsid w:val="783A77CC"/>
    <w:rsid w:val="784635DF"/>
    <w:rsid w:val="78482227"/>
    <w:rsid w:val="790707F7"/>
    <w:rsid w:val="791B278D"/>
    <w:rsid w:val="796F67B7"/>
    <w:rsid w:val="798619ED"/>
    <w:rsid w:val="798E0446"/>
    <w:rsid w:val="79913E8C"/>
    <w:rsid w:val="79B54ABA"/>
    <w:rsid w:val="79DE3700"/>
    <w:rsid w:val="7A067ACA"/>
    <w:rsid w:val="7A073240"/>
    <w:rsid w:val="7A3062F0"/>
    <w:rsid w:val="7A8E221F"/>
    <w:rsid w:val="7A91186A"/>
    <w:rsid w:val="7B1961BA"/>
    <w:rsid w:val="7BA31AFD"/>
    <w:rsid w:val="7BC55B1F"/>
    <w:rsid w:val="7BE319E5"/>
    <w:rsid w:val="7BF93CF4"/>
    <w:rsid w:val="7C084F4E"/>
    <w:rsid w:val="7C604AA5"/>
    <w:rsid w:val="7C931155"/>
    <w:rsid w:val="7CA52C0F"/>
    <w:rsid w:val="7CB00FA0"/>
    <w:rsid w:val="7CB225D2"/>
    <w:rsid w:val="7CBF2679"/>
    <w:rsid w:val="7CC3693C"/>
    <w:rsid w:val="7D1D4F52"/>
    <w:rsid w:val="7D40500C"/>
    <w:rsid w:val="7D4A221E"/>
    <w:rsid w:val="7D8B1C08"/>
    <w:rsid w:val="7E2F4DF8"/>
    <w:rsid w:val="7E8F01B1"/>
    <w:rsid w:val="7E905C32"/>
    <w:rsid w:val="7F084DE5"/>
    <w:rsid w:val="7F4853E1"/>
    <w:rsid w:val="7F712D22"/>
    <w:rsid w:val="7FC9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4">
    <w:name w:val="Body Text"/>
    <w:basedOn w:val="1"/>
    <w:qFormat/>
    <w:uiPriority w:val="1"/>
    <w:pPr>
      <w:ind w:left="325"/>
    </w:pPr>
    <w:rPr>
      <w:rFonts w:ascii="宋体" w:hAnsi="宋体" w:eastAsia="宋体"/>
      <w:sz w:val="28"/>
      <w:szCs w:val="2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character" w:styleId="10">
    <w:name w:val="Strong"/>
    <w:basedOn w:val="9"/>
    <w:qFormat/>
    <w:uiPriority w:val="22"/>
    <w:rPr>
      <w:b/>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paragraph" w:customStyle="1" w:styleId="13">
    <w:name w:val="列出段落1"/>
    <w:basedOn w:val="1"/>
    <w:qFormat/>
    <w:uiPriority w:val="34"/>
    <w:pPr>
      <w:ind w:firstLine="420" w:firstLineChars="200"/>
    </w:pPr>
  </w:style>
  <w:style w:type="paragraph" w:customStyle="1" w:styleId="14">
    <w:name w:val="Char Char Char1"/>
    <w:basedOn w:val="1"/>
    <w:qFormat/>
    <w:uiPriority w:val="0"/>
    <w:rPr>
      <w:rFonts w:ascii="Calibri" w:hAnsi="Calibri" w:eastAsia="宋体" w:cs="Times New Roman"/>
      <w:szCs w:val="24"/>
    </w:rPr>
  </w:style>
  <w:style w:type="paragraph" w:customStyle="1" w:styleId="15">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502</Words>
  <Characters>2864</Characters>
  <Lines>23</Lines>
  <Paragraphs>6</Paragraphs>
  <TotalTime>16</TotalTime>
  <ScaleCrop>false</ScaleCrop>
  <LinksUpToDate>false</LinksUpToDate>
  <CharactersWithSpaces>3360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2023-11-18T13:11:00Z</dcterms:created>
  <dc:creator>Microsoft</dc:creator>
  <cp:lastModifiedBy>YOUNG</cp:lastModifiedBy>
  <cp:lastPrinted>2023-12-22T08:33:00Z</cp:lastPrinted>
  <dcterms:modified xsi:type="dcterms:W3CDTF">2024-03-29T07:40:17Z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4AA328747CA24367A46F7AC5D2A9FA3D</vt:lpwstr>
  </property>
</Properties>
</file>